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bookmarkStart w:id="0" w:name="_Hlk97517712"/>
      <w:r>
        <w:rPr>
          <w:rFonts w:hint="eastAsia" w:ascii="仿宋_GB2312" w:hAnsi="宋体" w:eastAsia="仿宋_GB2312" w:cs="宋体"/>
          <w:sz w:val="28"/>
          <w:szCs w:val="28"/>
        </w:rPr>
        <w:t>附件（二）投标人应答索引表</w:t>
      </w:r>
    </w:p>
    <w:bookmarkEnd w:id="0"/>
    <w:p>
      <w:pPr>
        <w:pStyle w:val="4"/>
        <w:numPr>
          <w:ilvl w:val="0"/>
          <w:numId w:val="0"/>
        </w:numPr>
        <w:spacing w:line="360" w:lineRule="auto"/>
        <w:ind w:left="13" w:leftChars="6"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如果与评分因素相关的内容在投标文件的多处都有体现，对应内容所在的多个页码均需填写。内容与所在页码前后不一致、页码缺失或错误导致投标文件被误读或查找不到，后果由投标人承担。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 w:ascii="仿宋_GB2312" w:hAnsi="宋体" w:eastAsia="仿宋_GB2312" w:cs="宋体"/>
          <w:b/>
          <w:bCs/>
          <w:sz w:val="28"/>
          <w:szCs w:val="28"/>
        </w:rPr>
      </w:pP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b/>
          <w:bCs/>
          <w:sz w:val="28"/>
          <w:szCs w:val="28"/>
        </w:rPr>
        <w:t>投标人应答索引表</w:t>
      </w:r>
    </w:p>
    <w:p>
      <w:pPr>
        <w:pStyle w:val="4"/>
        <w:numPr>
          <w:ilvl w:val="0"/>
          <w:numId w:val="0"/>
        </w:num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竞标类型（</w:t>
      </w:r>
      <w:r>
        <w:rPr>
          <w:rFonts w:hint="eastAsia" w:ascii="仿宋_GB2312" w:hAnsi="宋体" w:eastAsia="仿宋_GB2312" w:cs="宋体"/>
          <w:sz w:val="28"/>
          <w:szCs w:val="28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</w:rPr>
        <w:t xml:space="preserve">精装图书  </w:t>
      </w:r>
      <w:r>
        <w:rPr>
          <w:rFonts w:hint="eastAsia" w:ascii="仿宋_GB2312" w:hAnsi="宋体" w:eastAsia="仿宋_GB2312" w:cs="宋体"/>
          <w:sz w:val="28"/>
          <w:szCs w:val="28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</w:rPr>
        <w:t xml:space="preserve">特殊装订方式图书 </w:t>
      </w:r>
      <w:r>
        <w:rPr>
          <w:rFonts w:hint="eastAsia" w:ascii="仿宋_GB2312" w:hAnsi="宋体" w:eastAsia="仿宋_GB2312" w:cs="宋体"/>
          <w:sz w:val="28"/>
          <w:szCs w:val="28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</w:rPr>
        <w:t>普通胶装类图书）</w:t>
      </w:r>
    </w:p>
    <w:tbl>
      <w:tblPr>
        <w:tblStyle w:val="2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31"/>
        <w:gridCol w:w="3157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4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right="-132" w:rightChars="-63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4988" w:type="dxa"/>
            <w:gridSpan w:val="2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评分因素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投标文件所在页码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4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生产经营和财务状况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ind w:left="-731" w:leftChars="-348" w:firstLine="854" w:firstLineChars="30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4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4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认证情况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ind w:left="-731" w:leftChars="-348" w:firstLine="854" w:firstLineChars="30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14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纸张、图书储存库房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占地面积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4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获奖情况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管理能力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信息化管理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流程管理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质量管理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财务管理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保密管理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安全管理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生产能力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CTP制版机数量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平台印刷设备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印装能力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折页机安装在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线光电检测系统情况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胶订机安装在线光电检测系统情况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与招标人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需求匹配程度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服务能力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质量保障承诺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印装周期承诺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印装服务承诺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14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4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投标印刷样书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49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综合评价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4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25825"/>
    <w:rsid w:val="38E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2022-07-11T07:59:00Z</dcterms:created>
  <dc:creator>刘蕾</dc:creator>
  <cp:lastModifiedBy>刘蕾</cp:lastModifiedBy>
  <dcterms:modified xsi:type="dcterms:W3CDTF">2022-07-11T08:00:47Z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DF927B2ED4994515BBE3F90F603A5D95</vt:lpwstr>
  </property>
</Properties>
</file>