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27F7B3" w14:textId="0734D67E" w:rsidR="009E1E71" w:rsidRDefault="00C52CAE">
      <w:pPr>
        <w:jc w:val="center"/>
        <w:rPr>
          <w:rFonts w:ascii="方正小标宋简体" w:eastAsia="方正小标宋简体"/>
          <w:sz w:val="44"/>
          <w:szCs w:val="44"/>
        </w:rPr>
      </w:pPr>
      <w:r w:rsidRPr="00206E7F">
        <w:rPr>
          <w:rFonts w:ascii="方正小标宋简体" w:eastAsia="方正小标宋简体" w:hint="eastAsia"/>
          <w:sz w:val="44"/>
          <w:szCs w:val="44"/>
        </w:rPr>
        <w:t>评分标准</w:t>
      </w:r>
    </w:p>
    <w:p w14:paraId="1115453E" w14:textId="77777777" w:rsidR="00206E7F" w:rsidRPr="00206E7F" w:rsidRDefault="00206E7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14:paraId="735645EC" w14:textId="77777777" w:rsidR="009E1E71" w:rsidRDefault="009E1E71"/>
    <w:tbl>
      <w:tblPr>
        <w:tblStyle w:val="TableNormal"/>
        <w:tblW w:w="93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1671"/>
        <w:gridCol w:w="1222"/>
        <w:gridCol w:w="5606"/>
      </w:tblGrid>
      <w:tr w:rsidR="009E1E71" w:rsidRPr="00327FD2" w14:paraId="30F45C5B" w14:textId="77777777" w:rsidTr="00206E7F">
        <w:trPr>
          <w:trHeight w:val="739"/>
          <w:jc w:val="center"/>
        </w:trPr>
        <w:tc>
          <w:tcPr>
            <w:tcW w:w="887" w:type="dxa"/>
          </w:tcPr>
          <w:p w14:paraId="4FC56768" w14:textId="77777777" w:rsidR="009E1E71" w:rsidRPr="00327FD2" w:rsidRDefault="00C52CAE">
            <w:pPr>
              <w:pStyle w:val="TableParagraph"/>
              <w:spacing w:before="154"/>
              <w:ind w:left="167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类别</w:t>
            </w:r>
          </w:p>
        </w:tc>
        <w:tc>
          <w:tcPr>
            <w:tcW w:w="1671" w:type="dxa"/>
          </w:tcPr>
          <w:p w14:paraId="631CDBF8" w14:textId="77777777" w:rsidR="009E1E71" w:rsidRPr="00327FD2" w:rsidRDefault="00C52CAE">
            <w:pPr>
              <w:pStyle w:val="TableParagraph"/>
              <w:spacing w:before="154"/>
              <w:ind w:left="278" w:right="270"/>
              <w:jc w:val="center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计分因素</w:t>
            </w:r>
          </w:p>
        </w:tc>
        <w:tc>
          <w:tcPr>
            <w:tcW w:w="1222" w:type="dxa"/>
          </w:tcPr>
          <w:p w14:paraId="652F951B" w14:textId="77777777" w:rsidR="009E1E71" w:rsidRPr="00327FD2" w:rsidRDefault="00C52CAE">
            <w:pPr>
              <w:pStyle w:val="TableParagraph"/>
              <w:spacing w:before="154"/>
              <w:ind w:left="275" w:right="267"/>
              <w:jc w:val="center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分值</w:t>
            </w:r>
          </w:p>
        </w:tc>
        <w:tc>
          <w:tcPr>
            <w:tcW w:w="5606" w:type="dxa"/>
          </w:tcPr>
          <w:p w14:paraId="6D7808BE" w14:textId="77777777" w:rsidR="009E1E71" w:rsidRPr="00327FD2" w:rsidRDefault="00C52CAE">
            <w:pPr>
              <w:pStyle w:val="TableParagraph"/>
              <w:spacing w:before="154"/>
              <w:ind w:left="1980" w:right="1972"/>
              <w:jc w:val="center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评分要求</w:t>
            </w:r>
          </w:p>
        </w:tc>
      </w:tr>
      <w:tr w:rsidR="009E1E71" w:rsidRPr="00327FD2" w14:paraId="6DAB8A66" w14:textId="77777777" w:rsidTr="00206E7F">
        <w:trPr>
          <w:trHeight w:val="2000"/>
          <w:jc w:val="center"/>
        </w:trPr>
        <w:tc>
          <w:tcPr>
            <w:tcW w:w="887" w:type="dxa"/>
          </w:tcPr>
          <w:p w14:paraId="2987E84D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5DE79242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7E2E856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76F7F678" w14:textId="77777777" w:rsidR="009E1E71" w:rsidRPr="00327FD2" w:rsidRDefault="00C52CAE">
            <w:pPr>
              <w:pStyle w:val="TableParagraph"/>
              <w:spacing w:before="1" w:line="290" w:lineRule="auto"/>
              <w:ind w:right="190"/>
              <w:jc w:val="center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价格</w:t>
            </w:r>
          </w:p>
          <w:p w14:paraId="21B74185" w14:textId="77777777" w:rsidR="009E1E71" w:rsidRPr="00327FD2" w:rsidRDefault="00C52CAE">
            <w:pPr>
              <w:pStyle w:val="TableParagraph"/>
              <w:spacing w:before="1" w:line="290" w:lineRule="auto"/>
              <w:ind w:right="190"/>
              <w:jc w:val="center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部分</w:t>
            </w:r>
          </w:p>
        </w:tc>
        <w:tc>
          <w:tcPr>
            <w:tcW w:w="1671" w:type="dxa"/>
          </w:tcPr>
          <w:p w14:paraId="0E5962C3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62E8558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1BE44C8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4B616EE4" w14:textId="77777777" w:rsidR="009E1E71" w:rsidRPr="00327FD2" w:rsidRDefault="00C52CAE">
            <w:pPr>
              <w:pStyle w:val="TableParagraph"/>
              <w:ind w:right="270"/>
              <w:jc w:val="center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投标报价</w:t>
            </w:r>
          </w:p>
        </w:tc>
        <w:tc>
          <w:tcPr>
            <w:tcW w:w="1222" w:type="dxa"/>
          </w:tcPr>
          <w:p w14:paraId="73E8108B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8CF9E08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3FEE645C" w14:textId="77777777" w:rsidR="009E1E71" w:rsidRPr="00327FD2" w:rsidRDefault="00C52CAE">
            <w:pPr>
              <w:pStyle w:val="TableParagraph"/>
              <w:spacing w:before="203"/>
              <w:ind w:right="267"/>
              <w:jc w:val="center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10 分</w:t>
            </w:r>
          </w:p>
        </w:tc>
        <w:tc>
          <w:tcPr>
            <w:tcW w:w="5606" w:type="dxa"/>
          </w:tcPr>
          <w:p w14:paraId="378CF3E4" w14:textId="77777777" w:rsidR="009E1E71" w:rsidRPr="00327FD2" w:rsidRDefault="00C52CAE">
            <w:pPr>
              <w:pStyle w:val="TableParagraph"/>
              <w:spacing w:before="92" w:line="381" w:lineRule="auto"/>
              <w:ind w:left="106" w:right="43" w:firstLine="480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参与综合评审的供应商中，以满足招标文件要求且最后报价最低的报价为评审基准价。价格</w:t>
            </w:r>
            <w:proofErr w:type="gramStart"/>
            <w:r w:rsidRPr="00327FD2">
              <w:rPr>
                <w:rFonts w:ascii="仿宋_GB2312" w:eastAsia="仿宋_GB2312" w:hint="eastAsia"/>
                <w:sz w:val="24"/>
              </w:rPr>
              <w:t>分按照</w:t>
            </w:r>
            <w:proofErr w:type="gramEnd"/>
            <w:r w:rsidRPr="00327FD2">
              <w:rPr>
                <w:rFonts w:ascii="仿宋_GB2312" w:eastAsia="仿宋_GB2312" w:hint="eastAsia"/>
                <w:sz w:val="24"/>
              </w:rPr>
              <w:t>下列公式计算：</w:t>
            </w:r>
          </w:p>
          <w:p w14:paraId="35753CD5" w14:textId="77777777" w:rsidR="009E1E71" w:rsidRPr="00327FD2" w:rsidRDefault="00C52CAE">
            <w:pPr>
              <w:pStyle w:val="TableParagraph"/>
              <w:spacing w:line="381" w:lineRule="auto"/>
              <w:ind w:left="466" w:right="93" w:firstLine="120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价格得分＝</w:t>
            </w:r>
            <w:r w:rsidRPr="00327FD2">
              <w:rPr>
                <w:rFonts w:ascii="仿宋_GB2312" w:eastAsia="仿宋_GB2312" w:hAnsi="Times New Roman" w:hint="eastAsia"/>
                <w:sz w:val="24"/>
              </w:rPr>
              <w:t>(</w:t>
            </w:r>
            <w:r w:rsidRPr="00327FD2">
              <w:rPr>
                <w:rFonts w:ascii="仿宋_GB2312" w:eastAsia="仿宋_GB2312" w:hint="eastAsia"/>
                <w:sz w:val="24"/>
              </w:rPr>
              <w:t>评审基准价</w:t>
            </w:r>
            <w:r w:rsidRPr="00327FD2">
              <w:rPr>
                <w:rFonts w:ascii="仿宋_GB2312" w:eastAsia="仿宋_GB2312" w:hAnsi="Times New Roman" w:hint="eastAsia"/>
                <w:sz w:val="24"/>
              </w:rPr>
              <w:t>/</w:t>
            </w:r>
            <w:r w:rsidRPr="00327FD2">
              <w:rPr>
                <w:rFonts w:ascii="仿宋_GB2312" w:eastAsia="仿宋_GB2312" w:hint="eastAsia"/>
                <w:sz w:val="24"/>
              </w:rPr>
              <w:t>最后报价</w:t>
            </w:r>
            <w:r w:rsidRPr="00327FD2">
              <w:rPr>
                <w:rFonts w:ascii="仿宋_GB2312" w:eastAsia="仿宋_GB2312" w:hAnsi="Times New Roman" w:hint="eastAsia"/>
                <w:sz w:val="24"/>
              </w:rPr>
              <w:t>)</w:t>
            </w:r>
            <w:r w:rsidRPr="00327FD2">
              <w:rPr>
                <w:rFonts w:ascii="仿宋_GB2312" w:eastAsia="仿宋_GB2312" w:hint="eastAsia"/>
                <w:sz w:val="24"/>
              </w:rPr>
              <w:t>×</w:t>
            </w:r>
            <w:r w:rsidRPr="00327FD2">
              <w:rPr>
                <w:rFonts w:ascii="仿宋_GB2312" w:eastAsia="仿宋_GB2312" w:hAnsi="Times New Roman" w:hint="eastAsia"/>
                <w:sz w:val="24"/>
              </w:rPr>
              <w:t>10</w:t>
            </w:r>
          </w:p>
        </w:tc>
      </w:tr>
      <w:tr w:rsidR="009E1E71" w:rsidRPr="00327FD2" w14:paraId="46D0325F" w14:textId="77777777" w:rsidTr="00206E7F">
        <w:trPr>
          <w:trHeight w:val="7503"/>
          <w:jc w:val="center"/>
        </w:trPr>
        <w:tc>
          <w:tcPr>
            <w:tcW w:w="887" w:type="dxa"/>
          </w:tcPr>
          <w:p w14:paraId="68E94EC8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598045DE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9052F1D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46ED40BB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6D90D91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FEA4008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78A729E7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3FFF6932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44737AC1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D3924EB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344A06F1" w14:textId="77777777" w:rsidR="009E1E71" w:rsidRPr="00327FD2" w:rsidRDefault="009E1E71">
            <w:pPr>
              <w:pStyle w:val="TableParagraph"/>
              <w:spacing w:before="155" w:line="288" w:lineRule="auto"/>
              <w:ind w:left="196" w:right="190"/>
              <w:rPr>
                <w:rFonts w:ascii="仿宋_GB2312" w:eastAsia="仿宋_GB2312" w:hint="eastAsia"/>
                <w:sz w:val="24"/>
              </w:rPr>
            </w:pPr>
          </w:p>
          <w:p w14:paraId="16F90E8A" w14:textId="77777777" w:rsidR="009E1E71" w:rsidRPr="00327FD2" w:rsidRDefault="009E1E71">
            <w:pPr>
              <w:pStyle w:val="TableParagraph"/>
              <w:spacing w:before="155" w:line="288" w:lineRule="auto"/>
              <w:ind w:left="196" w:right="190"/>
              <w:rPr>
                <w:rFonts w:ascii="仿宋_GB2312" w:eastAsia="仿宋_GB2312" w:hint="eastAsia"/>
                <w:sz w:val="24"/>
              </w:rPr>
            </w:pPr>
          </w:p>
          <w:p w14:paraId="6BAF8671" w14:textId="77777777" w:rsidR="009E1E71" w:rsidRPr="00327FD2" w:rsidRDefault="009E1E71">
            <w:pPr>
              <w:pStyle w:val="TableParagraph"/>
              <w:spacing w:before="155" w:line="288" w:lineRule="auto"/>
              <w:ind w:left="196" w:right="190"/>
              <w:rPr>
                <w:rFonts w:ascii="仿宋_GB2312" w:eastAsia="仿宋_GB2312" w:hint="eastAsia"/>
                <w:sz w:val="24"/>
              </w:rPr>
            </w:pPr>
          </w:p>
          <w:p w14:paraId="47C593BD" w14:textId="77777777" w:rsidR="009E1E71" w:rsidRPr="00327FD2" w:rsidRDefault="00C52CAE">
            <w:pPr>
              <w:pStyle w:val="TableParagraph"/>
              <w:spacing w:before="155" w:line="288" w:lineRule="auto"/>
              <w:ind w:left="196" w:right="190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商务部分</w:t>
            </w:r>
          </w:p>
        </w:tc>
        <w:tc>
          <w:tcPr>
            <w:tcW w:w="1671" w:type="dxa"/>
          </w:tcPr>
          <w:p w14:paraId="01C188B7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78A679CB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59B4C1F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51C416E7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6AAF8D5B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6BCEDC69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79EA87C0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3566C843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431D8164" w14:textId="77777777" w:rsidR="009E1E71" w:rsidRPr="00327FD2" w:rsidRDefault="009E1E71">
            <w:pPr>
              <w:pStyle w:val="TableParagraph"/>
              <w:spacing w:before="3"/>
              <w:rPr>
                <w:rFonts w:ascii="仿宋_GB2312" w:eastAsia="仿宋_GB2312" w:hint="eastAsia"/>
                <w:sz w:val="24"/>
              </w:rPr>
            </w:pPr>
          </w:p>
          <w:p w14:paraId="5DF9A501" w14:textId="77777777" w:rsidR="009E1E71" w:rsidRPr="00327FD2" w:rsidRDefault="009E1E71">
            <w:pPr>
              <w:pStyle w:val="TableParagraph"/>
              <w:spacing w:before="1"/>
              <w:ind w:left="298"/>
              <w:rPr>
                <w:rFonts w:ascii="仿宋_GB2312" w:eastAsia="仿宋_GB2312" w:hint="eastAsia"/>
                <w:sz w:val="24"/>
              </w:rPr>
            </w:pPr>
          </w:p>
          <w:p w14:paraId="4D3C02BC" w14:textId="77777777" w:rsidR="009E1E71" w:rsidRPr="00327FD2" w:rsidRDefault="009E1E71">
            <w:pPr>
              <w:pStyle w:val="TableParagraph"/>
              <w:spacing w:before="1"/>
              <w:ind w:left="298"/>
              <w:rPr>
                <w:rFonts w:ascii="仿宋_GB2312" w:eastAsia="仿宋_GB2312" w:hint="eastAsia"/>
                <w:sz w:val="24"/>
              </w:rPr>
            </w:pPr>
          </w:p>
          <w:p w14:paraId="1241CB4E" w14:textId="77777777" w:rsidR="009E1E71" w:rsidRPr="00327FD2" w:rsidRDefault="009E1E71">
            <w:pPr>
              <w:pStyle w:val="TableParagraph"/>
              <w:spacing w:before="1"/>
              <w:ind w:left="298"/>
              <w:rPr>
                <w:rFonts w:ascii="仿宋_GB2312" w:eastAsia="仿宋_GB2312" w:hint="eastAsia"/>
                <w:sz w:val="24"/>
              </w:rPr>
            </w:pPr>
          </w:p>
          <w:p w14:paraId="01211D1F" w14:textId="77777777" w:rsidR="009E1E71" w:rsidRPr="00327FD2" w:rsidRDefault="009E1E71">
            <w:pPr>
              <w:pStyle w:val="TableParagraph"/>
              <w:spacing w:before="1"/>
              <w:ind w:left="298"/>
              <w:rPr>
                <w:rFonts w:ascii="仿宋_GB2312" w:eastAsia="仿宋_GB2312" w:hint="eastAsia"/>
                <w:sz w:val="24"/>
              </w:rPr>
            </w:pPr>
          </w:p>
          <w:p w14:paraId="6E66E110" w14:textId="77777777" w:rsidR="009E1E71" w:rsidRPr="00327FD2" w:rsidRDefault="009E1E71">
            <w:pPr>
              <w:pStyle w:val="TableParagraph"/>
              <w:spacing w:before="1"/>
              <w:ind w:left="298"/>
              <w:rPr>
                <w:rFonts w:ascii="仿宋_GB2312" w:eastAsia="仿宋_GB2312" w:hint="eastAsia"/>
                <w:sz w:val="24"/>
              </w:rPr>
            </w:pPr>
          </w:p>
          <w:p w14:paraId="7BD5027E" w14:textId="77777777" w:rsidR="009E1E71" w:rsidRPr="00327FD2" w:rsidRDefault="00C52CAE">
            <w:pPr>
              <w:pStyle w:val="TableParagraph"/>
              <w:spacing w:before="1"/>
              <w:ind w:left="298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企业实力</w:t>
            </w:r>
          </w:p>
        </w:tc>
        <w:tc>
          <w:tcPr>
            <w:tcW w:w="1222" w:type="dxa"/>
          </w:tcPr>
          <w:p w14:paraId="35CDA5DE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D61067F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7E430F99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6DBA5C23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16D98C9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048B2A6B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69E704B7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5EACC302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4C21E76" w14:textId="77777777" w:rsidR="009E1E71" w:rsidRPr="00327FD2" w:rsidRDefault="009E1E71">
            <w:pPr>
              <w:pStyle w:val="TableParagraph"/>
              <w:spacing w:before="196"/>
              <w:ind w:left="297"/>
              <w:rPr>
                <w:rFonts w:ascii="仿宋_GB2312" w:eastAsia="仿宋_GB2312" w:hint="eastAsia"/>
                <w:sz w:val="24"/>
              </w:rPr>
            </w:pPr>
          </w:p>
          <w:p w14:paraId="46175C93" w14:textId="77777777" w:rsidR="009E1E71" w:rsidRPr="00327FD2" w:rsidRDefault="009E1E71">
            <w:pPr>
              <w:pStyle w:val="TableParagraph"/>
              <w:spacing w:before="196"/>
              <w:ind w:left="297"/>
              <w:rPr>
                <w:rFonts w:ascii="仿宋_GB2312" w:eastAsia="仿宋_GB2312" w:hint="eastAsia"/>
                <w:sz w:val="24"/>
              </w:rPr>
            </w:pPr>
          </w:p>
          <w:p w14:paraId="094746BA" w14:textId="77777777" w:rsidR="009E1E71" w:rsidRPr="00327FD2" w:rsidRDefault="00A36140">
            <w:pPr>
              <w:pStyle w:val="TableParagraph"/>
              <w:spacing w:before="196"/>
              <w:ind w:left="297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2</w:t>
            </w:r>
            <w:r w:rsidR="00C52CAE" w:rsidRPr="00327FD2">
              <w:rPr>
                <w:rFonts w:ascii="仿宋_GB2312" w:eastAsia="仿宋_GB2312" w:hint="eastAsia"/>
                <w:sz w:val="24"/>
              </w:rPr>
              <w:t>5分</w:t>
            </w:r>
          </w:p>
          <w:p w14:paraId="0E710073" w14:textId="77777777" w:rsidR="00CF07D0" w:rsidRPr="00327FD2" w:rsidRDefault="00CF07D0">
            <w:pPr>
              <w:pStyle w:val="TableParagraph"/>
              <w:spacing w:before="196"/>
              <w:ind w:left="297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5606" w:type="dxa"/>
          </w:tcPr>
          <w:p w14:paraId="202AFC11" w14:textId="77777777" w:rsidR="009E1E71" w:rsidRPr="00327FD2" w:rsidRDefault="00C52CAE">
            <w:pPr>
              <w:pStyle w:val="TableParagraph"/>
              <w:numPr>
                <w:ilvl w:val="0"/>
                <w:numId w:val="1"/>
              </w:numPr>
              <w:tabs>
                <w:tab w:val="left" w:pos="717"/>
              </w:tabs>
              <w:spacing w:before="91" w:line="381" w:lineRule="auto"/>
              <w:ind w:right="-29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供应商近一年获得国家级层面相关</w:t>
            </w:r>
            <w:r w:rsidR="00B815FF" w:rsidRPr="00327FD2">
              <w:rPr>
                <w:rFonts w:ascii="仿宋_GB2312" w:eastAsia="仿宋_GB2312" w:hint="eastAsia"/>
                <w:sz w:val="24"/>
              </w:rPr>
              <w:t>科研</w:t>
            </w:r>
            <w:r w:rsidRPr="00327FD2">
              <w:rPr>
                <w:rFonts w:ascii="仿宋_GB2312" w:eastAsia="仿宋_GB2312" w:hint="eastAsia"/>
                <w:sz w:val="24"/>
              </w:rPr>
              <w:t>项目支持的，</w:t>
            </w:r>
            <w:r w:rsidRPr="00327FD2">
              <w:rPr>
                <w:rFonts w:ascii="仿宋_GB2312" w:eastAsia="仿宋_GB2312" w:hint="eastAsia"/>
                <w:spacing w:val="-30"/>
                <w:sz w:val="24"/>
              </w:rPr>
              <w:t>得 6</w:t>
            </w:r>
            <w:r w:rsidRPr="00327FD2">
              <w:rPr>
                <w:rFonts w:ascii="仿宋_GB2312" w:eastAsia="仿宋_GB2312" w:hint="eastAsia"/>
                <w:spacing w:val="-17"/>
                <w:sz w:val="24"/>
              </w:rPr>
              <w:t>分；</w:t>
            </w:r>
            <w:r w:rsidRPr="00327FD2">
              <w:rPr>
                <w:rFonts w:ascii="仿宋_GB2312" w:eastAsia="仿宋_GB2312" w:hint="eastAsia"/>
                <w:sz w:val="24"/>
              </w:rPr>
              <w:t>获得省级层面相关</w:t>
            </w:r>
            <w:r w:rsidR="00B815FF" w:rsidRPr="00327FD2">
              <w:rPr>
                <w:rFonts w:ascii="仿宋_GB2312" w:eastAsia="仿宋_GB2312" w:hint="eastAsia"/>
                <w:sz w:val="24"/>
              </w:rPr>
              <w:t>科研</w:t>
            </w:r>
            <w:r w:rsidRPr="00327FD2">
              <w:rPr>
                <w:rFonts w:ascii="仿宋_GB2312" w:eastAsia="仿宋_GB2312" w:hint="eastAsia"/>
                <w:sz w:val="24"/>
              </w:rPr>
              <w:t>项目支持的，</w:t>
            </w:r>
            <w:r w:rsidRPr="00327FD2">
              <w:rPr>
                <w:rFonts w:ascii="仿宋_GB2312" w:eastAsia="仿宋_GB2312" w:hint="eastAsia"/>
                <w:spacing w:val="-30"/>
                <w:sz w:val="24"/>
              </w:rPr>
              <w:t xml:space="preserve">得 </w:t>
            </w:r>
            <w:r w:rsidRPr="00327FD2">
              <w:rPr>
                <w:rFonts w:ascii="仿宋_GB2312" w:eastAsia="仿宋_GB2312" w:hint="eastAsia"/>
                <w:sz w:val="24"/>
              </w:rPr>
              <w:t>3</w:t>
            </w:r>
            <w:r w:rsidRPr="00327FD2">
              <w:rPr>
                <w:rFonts w:ascii="仿宋_GB2312" w:eastAsia="仿宋_GB2312" w:hint="eastAsia"/>
                <w:spacing w:val="-22"/>
                <w:sz w:val="24"/>
              </w:rPr>
              <w:t xml:space="preserve"> 分；</w:t>
            </w:r>
            <w:r w:rsidRPr="00327FD2">
              <w:rPr>
                <w:rFonts w:ascii="仿宋_GB2312" w:eastAsia="仿宋_GB2312" w:hint="eastAsia"/>
                <w:spacing w:val="-14"/>
                <w:sz w:val="24"/>
              </w:rPr>
              <w:t>最多得6分（以正式文件为准）。</w:t>
            </w:r>
          </w:p>
          <w:p w14:paraId="2C14EC2C" w14:textId="77777777" w:rsidR="009E1E71" w:rsidRPr="00327FD2" w:rsidRDefault="00C52CAE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182" w:line="381" w:lineRule="auto"/>
              <w:ind w:right="96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供货商（包括母、子、分公司）获得</w:t>
            </w:r>
            <w:r w:rsidR="00CF07D0" w:rsidRPr="00327FD2">
              <w:rPr>
                <w:rFonts w:ascii="仿宋_GB2312" w:eastAsia="仿宋_GB2312" w:hint="eastAsia"/>
                <w:sz w:val="24"/>
              </w:rPr>
              <w:t>国家</w:t>
            </w:r>
            <w:r w:rsidR="00B815FF" w:rsidRPr="00327FD2">
              <w:rPr>
                <w:rFonts w:ascii="仿宋_GB2312" w:eastAsia="仿宋_GB2312" w:hint="eastAsia"/>
                <w:sz w:val="24"/>
              </w:rPr>
              <w:t>级</w:t>
            </w:r>
            <w:r w:rsidR="00CF07D0" w:rsidRPr="00327FD2">
              <w:rPr>
                <w:rFonts w:ascii="仿宋_GB2312" w:eastAsia="仿宋_GB2312" w:hint="eastAsia"/>
                <w:sz w:val="24"/>
              </w:rPr>
              <w:t>层面相关认定或奖项</w:t>
            </w:r>
            <w:r w:rsidRPr="00327FD2">
              <w:rPr>
                <w:rFonts w:ascii="仿宋_GB2312" w:eastAsia="仿宋_GB2312" w:hint="eastAsia"/>
                <w:sz w:val="24"/>
              </w:rPr>
              <w:t>的得 5分，获得省级</w:t>
            </w:r>
            <w:r w:rsidR="00CF07D0" w:rsidRPr="00327FD2">
              <w:rPr>
                <w:rFonts w:ascii="仿宋_GB2312" w:eastAsia="仿宋_GB2312" w:hint="eastAsia"/>
                <w:sz w:val="24"/>
              </w:rPr>
              <w:t>层面相关认定或奖项的</w:t>
            </w:r>
            <w:r w:rsidRPr="00327FD2">
              <w:rPr>
                <w:rFonts w:ascii="仿宋_GB2312" w:eastAsia="仿宋_GB2312" w:hint="eastAsia"/>
                <w:sz w:val="24"/>
              </w:rPr>
              <w:t>得3分，最多得5分。</w:t>
            </w:r>
          </w:p>
          <w:p w14:paraId="39B51F37" w14:textId="77777777" w:rsidR="009E1E71" w:rsidRPr="00327FD2" w:rsidRDefault="00C52CAE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182" w:line="381" w:lineRule="auto"/>
              <w:ind w:right="96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pacing w:val="-10"/>
                <w:sz w:val="24"/>
              </w:rPr>
              <w:t xml:space="preserve">供货商提供有效期内 </w:t>
            </w:r>
            <w:r w:rsidRPr="00327FD2">
              <w:rPr>
                <w:rFonts w:ascii="仿宋_GB2312" w:eastAsia="仿宋_GB2312" w:hint="eastAsia"/>
                <w:sz w:val="24"/>
              </w:rPr>
              <w:t>ISO</w:t>
            </w:r>
            <w:r w:rsidRPr="00327FD2">
              <w:rPr>
                <w:rFonts w:ascii="仿宋_GB2312" w:eastAsia="仿宋_GB2312" w:hint="eastAsia"/>
                <w:spacing w:val="-9"/>
                <w:sz w:val="24"/>
              </w:rPr>
              <w:t>质量管理体系认证</w:t>
            </w:r>
            <w:r w:rsidRPr="00327FD2">
              <w:rPr>
                <w:rFonts w:ascii="仿宋_GB2312" w:eastAsia="仿宋_GB2312" w:hint="eastAsia"/>
                <w:spacing w:val="-12"/>
                <w:sz w:val="24"/>
              </w:rPr>
              <w:t xml:space="preserve">证书的每个得 </w:t>
            </w:r>
            <w:r w:rsidR="00A36140" w:rsidRPr="00327FD2">
              <w:rPr>
                <w:rFonts w:ascii="仿宋_GB2312" w:eastAsia="仿宋_GB2312" w:hint="eastAsia"/>
                <w:spacing w:val="-12"/>
                <w:sz w:val="24"/>
              </w:rPr>
              <w:t>1</w:t>
            </w:r>
            <w:r w:rsidRPr="00327FD2">
              <w:rPr>
                <w:rFonts w:ascii="仿宋_GB2312" w:eastAsia="仿宋_GB2312" w:hint="eastAsia"/>
                <w:spacing w:val="-8"/>
                <w:sz w:val="24"/>
              </w:rPr>
              <w:t>分，</w:t>
            </w:r>
            <w:r w:rsidRPr="00327FD2">
              <w:rPr>
                <w:rFonts w:ascii="仿宋_GB2312" w:eastAsia="仿宋_GB2312" w:hint="eastAsia"/>
                <w:spacing w:val="-20"/>
                <w:sz w:val="24"/>
              </w:rPr>
              <w:t>最多得</w:t>
            </w:r>
            <w:r w:rsidR="00A36140" w:rsidRPr="00327FD2">
              <w:rPr>
                <w:rFonts w:ascii="仿宋_GB2312" w:eastAsia="仿宋_GB2312" w:hint="eastAsia"/>
                <w:spacing w:val="-20"/>
                <w:sz w:val="24"/>
              </w:rPr>
              <w:t>3</w:t>
            </w:r>
            <w:r w:rsidRPr="00327FD2">
              <w:rPr>
                <w:rFonts w:ascii="仿宋_GB2312" w:eastAsia="仿宋_GB2312" w:hint="eastAsia"/>
                <w:spacing w:val="-20"/>
                <w:sz w:val="24"/>
              </w:rPr>
              <w:t>分</w:t>
            </w:r>
            <w:r w:rsidRPr="00327FD2">
              <w:rPr>
                <w:rFonts w:ascii="仿宋_GB2312" w:eastAsia="仿宋_GB2312" w:hint="eastAsia"/>
                <w:spacing w:val="-8"/>
                <w:sz w:val="24"/>
              </w:rPr>
              <w:t>。</w:t>
            </w:r>
          </w:p>
          <w:p w14:paraId="747B428A" w14:textId="77777777" w:rsidR="009E1E71" w:rsidRPr="00327FD2" w:rsidRDefault="00C52CAE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182" w:line="381" w:lineRule="auto"/>
              <w:ind w:right="96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供应商提供近两年</w:t>
            </w:r>
            <w:r w:rsidRPr="00327FD2">
              <w:rPr>
                <w:rFonts w:ascii="仿宋_GB2312" w:eastAsia="仿宋_GB2312" w:hint="eastAsia"/>
                <w:spacing w:val="4"/>
                <w:sz w:val="24"/>
              </w:rPr>
              <w:t>（</w:t>
            </w:r>
            <w:r w:rsidRPr="00327FD2">
              <w:rPr>
                <w:rFonts w:ascii="仿宋_GB2312" w:eastAsia="仿宋_GB2312" w:hint="eastAsia"/>
                <w:sz w:val="24"/>
              </w:rPr>
              <w:t>以合同协议书签订日期为准</w:t>
            </w:r>
            <w:r w:rsidRPr="00327FD2">
              <w:rPr>
                <w:rFonts w:ascii="仿宋_GB2312" w:eastAsia="仿宋_GB2312" w:hint="eastAsia"/>
                <w:spacing w:val="-53"/>
                <w:sz w:val="24"/>
              </w:rPr>
              <w:t>）</w:t>
            </w:r>
            <w:r w:rsidRPr="00327FD2">
              <w:rPr>
                <w:rFonts w:ascii="仿宋_GB2312" w:eastAsia="仿宋_GB2312" w:hint="eastAsia"/>
                <w:spacing w:val="-1"/>
                <w:sz w:val="24"/>
              </w:rPr>
              <w:t>体育类网络</w:t>
            </w:r>
            <w:r w:rsidR="000E3078" w:rsidRPr="00327FD2">
              <w:rPr>
                <w:rFonts w:ascii="仿宋_GB2312" w:eastAsia="仿宋_GB2312" w:hint="eastAsia"/>
                <w:spacing w:val="-1"/>
                <w:sz w:val="24"/>
              </w:rPr>
              <w:t>系统</w:t>
            </w:r>
            <w:r w:rsidRPr="00327FD2">
              <w:rPr>
                <w:rFonts w:ascii="仿宋_GB2312" w:eastAsia="仿宋_GB2312" w:hint="eastAsia"/>
                <w:spacing w:val="-1"/>
                <w:sz w:val="24"/>
              </w:rPr>
              <w:t>开</w:t>
            </w:r>
            <w:r w:rsidRPr="00327FD2">
              <w:rPr>
                <w:rFonts w:ascii="仿宋_GB2312" w:eastAsia="仿宋_GB2312" w:hint="eastAsia"/>
                <w:spacing w:val="-11"/>
                <w:sz w:val="24"/>
              </w:rPr>
              <w:t xml:space="preserve">发业绩，每项得 </w:t>
            </w:r>
            <w:r w:rsidR="00A36140" w:rsidRPr="00327FD2">
              <w:rPr>
                <w:rFonts w:ascii="仿宋_GB2312" w:eastAsia="仿宋_GB2312" w:hint="eastAsia"/>
                <w:spacing w:val="-11"/>
                <w:sz w:val="24"/>
              </w:rPr>
              <w:t>2</w:t>
            </w:r>
            <w:r w:rsidRPr="00327FD2">
              <w:rPr>
                <w:rFonts w:ascii="仿宋_GB2312" w:eastAsia="仿宋_GB2312" w:hint="eastAsia"/>
                <w:spacing w:val="-20"/>
                <w:sz w:val="24"/>
              </w:rPr>
              <w:t xml:space="preserve">分，最多得 </w:t>
            </w:r>
            <w:r w:rsidR="00A36140" w:rsidRPr="00327FD2">
              <w:rPr>
                <w:rFonts w:ascii="仿宋_GB2312" w:eastAsia="仿宋_GB2312" w:hint="eastAsia"/>
                <w:spacing w:val="-20"/>
                <w:sz w:val="24"/>
              </w:rPr>
              <w:t>4</w:t>
            </w:r>
            <w:r w:rsidRPr="00327FD2">
              <w:rPr>
                <w:rFonts w:ascii="仿宋_GB2312" w:eastAsia="仿宋_GB2312" w:hint="eastAsia"/>
                <w:spacing w:val="-20"/>
                <w:sz w:val="24"/>
              </w:rPr>
              <w:t>分</w:t>
            </w:r>
            <w:r w:rsidRPr="00327FD2">
              <w:rPr>
                <w:rFonts w:ascii="仿宋_GB2312" w:eastAsia="仿宋_GB2312" w:hint="eastAsia"/>
                <w:spacing w:val="-29"/>
                <w:sz w:val="24"/>
              </w:rPr>
              <w:t>。</w:t>
            </w:r>
          </w:p>
          <w:p w14:paraId="37B4A5DD" w14:textId="77777777" w:rsidR="009E1E71" w:rsidRPr="00327FD2" w:rsidRDefault="00C52CAE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182" w:line="381" w:lineRule="auto"/>
              <w:ind w:right="96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供应商提供近五年</w:t>
            </w:r>
            <w:r w:rsidRPr="00327FD2">
              <w:rPr>
                <w:rFonts w:ascii="仿宋_GB2312" w:eastAsia="仿宋_GB2312" w:hint="eastAsia"/>
                <w:spacing w:val="4"/>
                <w:sz w:val="24"/>
              </w:rPr>
              <w:t>（</w:t>
            </w:r>
            <w:r w:rsidRPr="00327FD2">
              <w:rPr>
                <w:rFonts w:ascii="仿宋_GB2312" w:eastAsia="仿宋_GB2312" w:hint="eastAsia"/>
                <w:sz w:val="24"/>
              </w:rPr>
              <w:t>以合同协议书签订日期为准</w:t>
            </w:r>
            <w:r w:rsidRPr="00327FD2">
              <w:rPr>
                <w:rFonts w:ascii="仿宋_GB2312" w:eastAsia="仿宋_GB2312" w:hint="eastAsia"/>
                <w:spacing w:val="-53"/>
                <w:sz w:val="24"/>
              </w:rPr>
              <w:t>）</w:t>
            </w:r>
            <w:r w:rsidRPr="00327FD2">
              <w:rPr>
                <w:rFonts w:ascii="仿宋_GB2312" w:eastAsia="仿宋_GB2312" w:hint="eastAsia"/>
                <w:spacing w:val="-1"/>
                <w:sz w:val="24"/>
              </w:rPr>
              <w:t>体育场馆</w:t>
            </w:r>
            <w:r w:rsidR="00CF07D0" w:rsidRPr="00327FD2">
              <w:rPr>
                <w:rFonts w:ascii="仿宋_GB2312" w:eastAsia="仿宋_GB2312" w:hint="eastAsia"/>
                <w:spacing w:val="-1"/>
                <w:sz w:val="24"/>
              </w:rPr>
              <w:t>服务、管理、</w:t>
            </w:r>
            <w:r w:rsidRPr="00327FD2">
              <w:rPr>
                <w:rFonts w:ascii="仿宋_GB2312" w:eastAsia="仿宋_GB2312" w:hint="eastAsia"/>
                <w:spacing w:val="-1"/>
                <w:sz w:val="24"/>
              </w:rPr>
              <w:t>运营</w:t>
            </w:r>
            <w:r w:rsidRPr="00327FD2">
              <w:rPr>
                <w:rFonts w:ascii="仿宋_GB2312" w:eastAsia="仿宋_GB2312" w:hint="eastAsia"/>
                <w:spacing w:val="-11"/>
                <w:sz w:val="24"/>
              </w:rPr>
              <w:t xml:space="preserve">业绩，每项得 </w:t>
            </w:r>
            <w:r w:rsidR="00A36140" w:rsidRPr="00327FD2">
              <w:rPr>
                <w:rFonts w:ascii="仿宋_GB2312" w:eastAsia="仿宋_GB2312" w:hint="eastAsia"/>
                <w:spacing w:val="-11"/>
                <w:sz w:val="24"/>
              </w:rPr>
              <w:t>2</w:t>
            </w:r>
            <w:r w:rsidRPr="00327FD2">
              <w:rPr>
                <w:rFonts w:ascii="仿宋_GB2312" w:eastAsia="仿宋_GB2312" w:hint="eastAsia"/>
                <w:spacing w:val="-20"/>
                <w:sz w:val="24"/>
              </w:rPr>
              <w:t xml:space="preserve">分，最多得 </w:t>
            </w:r>
            <w:r w:rsidR="00A36140" w:rsidRPr="00327FD2">
              <w:rPr>
                <w:rFonts w:ascii="仿宋_GB2312" w:eastAsia="仿宋_GB2312" w:hint="eastAsia"/>
                <w:spacing w:val="-20"/>
                <w:sz w:val="24"/>
              </w:rPr>
              <w:t>4</w:t>
            </w:r>
            <w:r w:rsidRPr="00327FD2">
              <w:rPr>
                <w:rFonts w:ascii="仿宋_GB2312" w:eastAsia="仿宋_GB2312" w:hint="eastAsia"/>
                <w:spacing w:val="-20"/>
                <w:sz w:val="24"/>
              </w:rPr>
              <w:t>分</w:t>
            </w:r>
            <w:r w:rsidRPr="00327FD2">
              <w:rPr>
                <w:rFonts w:ascii="仿宋_GB2312" w:eastAsia="仿宋_GB2312" w:hint="eastAsia"/>
                <w:spacing w:val="-29"/>
                <w:sz w:val="24"/>
              </w:rPr>
              <w:t>。</w:t>
            </w:r>
          </w:p>
          <w:p w14:paraId="284BE155" w14:textId="77777777" w:rsidR="009E1E71" w:rsidRPr="00327FD2" w:rsidRDefault="00C52CAE">
            <w:pPr>
              <w:pStyle w:val="TableParagraph"/>
              <w:numPr>
                <w:ilvl w:val="0"/>
                <w:numId w:val="1"/>
              </w:numPr>
              <w:tabs>
                <w:tab w:val="left" w:pos="719"/>
              </w:tabs>
              <w:spacing w:before="1" w:line="381" w:lineRule="auto"/>
              <w:ind w:right="96" w:firstLine="0"/>
              <w:jc w:val="both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供应商拥有自有版权</w:t>
            </w:r>
            <w:r w:rsidRPr="00327FD2">
              <w:rPr>
                <w:rFonts w:ascii="仿宋_GB2312" w:eastAsia="仿宋_GB2312" w:hint="eastAsia"/>
                <w:spacing w:val="2"/>
                <w:sz w:val="24"/>
              </w:rPr>
              <w:t>体育培训类</w:t>
            </w:r>
            <w:r w:rsidRPr="00327FD2">
              <w:rPr>
                <w:rFonts w:ascii="仿宋_GB2312" w:eastAsia="仿宋_GB2312" w:hint="eastAsia"/>
                <w:spacing w:val="-5"/>
                <w:sz w:val="24"/>
              </w:rPr>
              <w:t>相关作品证书的</w:t>
            </w:r>
            <w:r w:rsidRPr="00327FD2">
              <w:rPr>
                <w:rFonts w:ascii="仿宋_GB2312" w:eastAsia="仿宋_GB2312" w:hint="eastAsia"/>
                <w:spacing w:val="4"/>
                <w:sz w:val="24"/>
              </w:rPr>
              <w:t>（</w:t>
            </w:r>
            <w:r w:rsidRPr="00327FD2">
              <w:rPr>
                <w:rFonts w:ascii="仿宋_GB2312" w:eastAsia="仿宋_GB2312" w:hint="eastAsia"/>
                <w:sz w:val="24"/>
              </w:rPr>
              <w:t>以颁发日期为准）</w:t>
            </w:r>
            <w:r w:rsidRPr="00327FD2">
              <w:rPr>
                <w:rFonts w:ascii="仿宋_GB2312" w:eastAsia="仿宋_GB2312" w:hint="eastAsia"/>
                <w:spacing w:val="-5"/>
                <w:sz w:val="24"/>
              </w:rPr>
              <w:t xml:space="preserve">，每项得 </w:t>
            </w:r>
            <w:r w:rsidR="00A36140" w:rsidRPr="00327FD2">
              <w:rPr>
                <w:rFonts w:ascii="仿宋_GB2312" w:eastAsia="仿宋_GB2312" w:hint="eastAsia"/>
                <w:spacing w:val="-5"/>
                <w:sz w:val="24"/>
              </w:rPr>
              <w:t>1</w:t>
            </w:r>
            <w:r w:rsidRPr="00327FD2">
              <w:rPr>
                <w:rFonts w:ascii="仿宋_GB2312" w:eastAsia="仿宋_GB2312" w:hint="eastAsia"/>
                <w:spacing w:val="-26"/>
                <w:sz w:val="24"/>
              </w:rPr>
              <w:t xml:space="preserve"> 分，最</w:t>
            </w:r>
            <w:r w:rsidRPr="00327FD2">
              <w:rPr>
                <w:rFonts w:ascii="仿宋_GB2312" w:eastAsia="仿宋_GB2312" w:hint="eastAsia"/>
                <w:sz w:val="24"/>
              </w:rPr>
              <w:t xml:space="preserve">多得 </w:t>
            </w:r>
            <w:r w:rsidR="00A36140" w:rsidRPr="00327FD2">
              <w:rPr>
                <w:rFonts w:ascii="仿宋_GB2312" w:eastAsia="仿宋_GB2312" w:hint="eastAsia"/>
                <w:sz w:val="24"/>
              </w:rPr>
              <w:t>3</w:t>
            </w:r>
            <w:r w:rsidRPr="00327FD2">
              <w:rPr>
                <w:rFonts w:ascii="仿宋_GB2312" w:eastAsia="仿宋_GB2312" w:hint="eastAsia"/>
                <w:sz w:val="24"/>
              </w:rPr>
              <w:t>分。</w:t>
            </w:r>
          </w:p>
          <w:p w14:paraId="02104FC0" w14:textId="77777777" w:rsidR="009E1E71" w:rsidRPr="00327FD2" w:rsidRDefault="009E1E71">
            <w:pPr>
              <w:pStyle w:val="TableParagraph"/>
              <w:tabs>
                <w:tab w:val="left" w:pos="708"/>
              </w:tabs>
              <w:spacing w:before="88" w:line="320" w:lineRule="atLeast"/>
              <w:ind w:left="106" w:right="163"/>
              <w:rPr>
                <w:rFonts w:ascii="仿宋_GB2312" w:eastAsia="仿宋_GB2312" w:hint="eastAsia"/>
                <w:sz w:val="24"/>
              </w:rPr>
            </w:pPr>
          </w:p>
        </w:tc>
      </w:tr>
    </w:tbl>
    <w:p w14:paraId="33857182" w14:textId="77777777" w:rsidR="009E1E71" w:rsidRDefault="009E1E71">
      <w:pPr>
        <w:spacing w:line="320" w:lineRule="atLeast"/>
        <w:rPr>
          <w:rFonts w:ascii="仿宋_GB2312" w:eastAsia="仿宋_GB2312" w:hint="eastAsia"/>
          <w:sz w:val="24"/>
        </w:rPr>
      </w:pPr>
    </w:p>
    <w:p w14:paraId="06323F4C" w14:textId="77777777" w:rsidR="00206E7F" w:rsidRPr="00206E7F" w:rsidRDefault="00206E7F" w:rsidP="00206E7F">
      <w:pPr>
        <w:rPr>
          <w:rFonts w:ascii="仿宋_GB2312" w:eastAsia="仿宋_GB2312" w:hint="eastAsia"/>
          <w:sz w:val="24"/>
        </w:rPr>
      </w:pPr>
    </w:p>
    <w:p w14:paraId="154660B8" w14:textId="3B90915A" w:rsidR="00206E7F" w:rsidRPr="00206E7F" w:rsidRDefault="00206E7F" w:rsidP="00206E7F">
      <w:pPr>
        <w:tabs>
          <w:tab w:val="left" w:pos="4200"/>
        </w:tabs>
        <w:rPr>
          <w:rFonts w:ascii="仿宋_GB2312" w:eastAsia="仿宋_GB2312" w:hint="eastAsia"/>
          <w:sz w:val="24"/>
        </w:rPr>
      </w:pPr>
    </w:p>
    <w:p w14:paraId="3C293424" w14:textId="190C3C8A" w:rsidR="00206E7F" w:rsidRPr="00206E7F" w:rsidRDefault="00206E7F" w:rsidP="00206E7F">
      <w:pPr>
        <w:tabs>
          <w:tab w:val="left" w:pos="4200"/>
        </w:tabs>
        <w:rPr>
          <w:rFonts w:ascii="仿宋_GB2312" w:eastAsia="仿宋_GB2312"/>
          <w:sz w:val="24"/>
        </w:rPr>
        <w:sectPr w:rsidR="00206E7F" w:rsidRPr="00206E7F" w:rsidSect="00206E7F">
          <w:pgSz w:w="11910" w:h="16840"/>
          <w:pgMar w:top="851" w:right="851" w:bottom="851" w:left="851" w:header="0" w:footer="913" w:gutter="0"/>
          <w:cols w:space="0"/>
        </w:sectPr>
      </w:pPr>
      <w:r>
        <w:rPr>
          <w:rFonts w:ascii="仿宋_GB2312" w:eastAsia="仿宋_GB2312"/>
          <w:sz w:val="24"/>
        </w:rPr>
        <w:tab/>
      </w:r>
    </w:p>
    <w:tbl>
      <w:tblPr>
        <w:tblStyle w:val="TableNormal"/>
        <w:tblW w:w="863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1"/>
        <w:gridCol w:w="1589"/>
        <w:gridCol w:w="1155"/>
        <w:gridCol w:w="5063"/>
      </w:tblGrid>
      <w:tr w:rsidR="009E1E71" w:rsidRPr="00327FD2" w14:paraId="3115E6FD" w14:textId="77777777" w:rsidTr="00206E7F">
        <w:trPr>
          <w:trHeight w:val="8228"/>
          <w:jc w:val="center"/>
        </w:trPr>
        <w:tc>
          <w:tcPr>
            <w:tcW w:w="831" w:type="dxa"/>
          </w:tcPr>
          <w:p w14:paraId="13C21A74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87D91A9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449B8BE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3B411B47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4BC04CDB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B515423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6A158FBD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58383B5F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004A9311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47F8A7B3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9466488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0C8B89DB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60343EDE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4F5CC036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3446B13C" w14:textId="77777777" w:rsidR="009E1E71" w:rsidRPr="00327FD2" w:rsidRDefault="00C52CAE">
            <w:pPr>
              <w:pStyle w:val="TableParagraph"/>
              <w:spacing w:before="176" w:line="290" w:lineRule="auto"/>
              <w:ind w:left="196" w:right="190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技术部分</w:t>
            </w:r>
          </w:p>
        </w:tc>
        <w:tc>
          <w:tcPr>
            <w:tcW w:w="1589" w:type="dxa"/>
          </w:tcPr>
          <w:p w14:paraId="170A0791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76D10510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4BBC2A47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0CAEBC30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6764179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21BA961A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0E1D2071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0E723CFC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4F9A5049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6E06D7F5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797D13C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3642AEC2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373718A7" w14:textId="77777777" w:rsidR="009E1E71" w:rsidRPr="00327FD2" w:rsidRDefault="009E1E71">
            <w:pPr>
              <w:pStyle w:val="TableParagraph"/>
              <w:spacing w:before="4"/>
              <w:rPr>
                <w:rFonts w:ascii="仿宋_GB2312" w:eastAsia="仿宋_GB2312" w:hint="eastAsia"/>
                <w:sz w:val="24"/>
              </w:rPr>
            </w:pPr>
          </w:p>
          <w:p w14:paraId="57B97FC8" w14:textId="77777777" w:rsidR="009E1E71" w:rsidRPr="00327FD2" w:rsidRDefault="00C52CAE">
            <w:pPr>
              <w:pStyle w:val="TableParagraph"/>
              <w:spacing w:line="254" w:lineRule="auto"/>
              <w:ind w:right="168"/>
              <w:jc w:val="center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实施方案</w:t>
            </w:r>
          </w:p>
        </w:tc>
        <w:tc>
          <w:tcPr>
            <w:tcW w:w="1155" w:type="dxa"/>
          </w:tcPr>
          <w:p w14:paraId="0267EF94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685EC506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6B9633B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61209610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3A29D687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7217D667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178913B3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  <w:p w14:paraId="00C56B42" w14:textId="77777777" w:rsidR="009E1E71" w:rsidRPr="00327FD2" w:rsidRDefault="00CF07D0">
            <w:pPr>
              <w:pStyle w:val="TableParagraph"/>
              <w:spacing w:before="1"/>
              <w:jc w:val="center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5</w:t>
            </w:r>
            <w:r w:rsidR="00C52CAE" w:rsidRPr="00327FD2">
              <w:rPr>
                <w:rFonts w:ascii="仿宋_GB2312" w:eastAsia="仿宋_GB2312" w:hint="eastAsia"/>
                <w:sz w:val="24"/>
              </w:rPr>
              <w:t>0分</w:t>
            </w:r>
          </w:p>
        </w:tc>
        <w:tc>
          <w:tcPr>
            <w:tcW w:w="5063" w:type="dxa"/>
          </w:tcPr>
          <w:p w14:paraId="30B0836B" w14:textId="77777777" w:rsidR="009E1E71" w:rsidRPr="00327FD2" w:rsidRDefault="00C52CAE">
            <w:pPr>
              <w:pStyle w:val="TableParagraph"/>
              <w:spacing w:before="91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（1）整体方案（满分20分）</w:t>
            </w:r>
          </w:p>
          <w:p w14:paraId="7EAE5B70" w14:textId="77777777" w:rsidR="009E1E71" w:rsidRPr="00327FD2" w:rsidRDefault="00C52CAE">
            <w:pPr>
              <w:pStyle w:val="TableParagraph"/>
              <w:spacing w:line="381" w:lineRule="auto"/>
              <w:ind w:right="96" w:firstLineChars="200" w:firstLine="480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项目整体方案思路清晰、完整，能完全符合项目需求的得20分；项目整体方案思路比较清晰、完整，能较好符合项目需求的得12分；项目整体方案思路一般，部分符合项目需求的得6分。</w:t>
            </w:r>
          </w:p>
          <w:p w14:paraId="01F6CC8B" w14:textId="77777777" w:rsidR="00387293" w:rsidRPr="00327FD2" w:rsidRDefault="00387293" w:rsidP="00387293">
            <w:pPr>
              <w:pStyle w:val="TableParagraph"/>
              <w:spacing w:line="381" w:lineRule="auto"/>
              <w:ind w:right="96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（2）方案合理性（满分10分）</w:t>
            </w:r>
          </w:p>
          <w:p w14:paraId="74119B21" w14:textId="77777777" w:rsidR="00387293" w:rsidRPr="00327FD2" w:rsidRDefault="00387293" w:rsidP="00387293">
            <w:pPr>
              <w:pStyle w:val="TableParagraph"/>
              <w:spacing w:line="381" w:lineRule="auto"/>
              <w:ind w:right="96" w:firstLineChars="200" w:firstLine="480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项目方案合理、严谨，实际操作性强的得10分；项目方案设计合理，实际操作性一般的得6分；项目方案不合理，实际操作性低的得3分。</w:t>
            </w:r>
          </w:p>
          <w:p w14:paraId="62792864" w14:textId="77777777" w:rsidR="009E1E71" w:rsidRPr="00327FD2" w:rsidRDefault="00C52CAE">
            <w:pPr>
              <w:pStyle w:val="TableParagraph"/>
              <w:spacing w:line="381" w:lineRule="auto"/>
              <w:ind w:right="96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（</w:t>
            </w:r>
            <w:r w:rsidR="00387293" w:rsidRPr="00327FD2">
              <w:rPr>
                <w:rFonts w:ascii="仿宋_GB2312" w:eastAsia="仿宋_GB2312" w:hint="eastAsia"/>
                <w:sz w:val="24"/>
              </w:rPr>
              <w:t>3</w:t>
            </w:r>
            <w:r w:rsidRPr="00327FD2">
              <w:rPr>
                <w:rFonts w:ascii="仿宋_GB2312" w:eastAsia="仿宋_GB2312" w:hint="eastAsia"/>
                <w:sz w:val="24"/>
              </w:rPr>
              <w:t>）项目实施团队搭建（满分10分）</w:t>
            </w:r>
          </w:p>
          <w:p w14:paraId="5D0F685B" w14:textId="77777777" w:rsidR="009E1E71" w:rsidRPr="00327FD2" w:rsidRDefault="00C52CAE">
            <w:pPr>
              <w:pStyle w:val="TableParagraph"/>
              <w:spacing w:line="381" w:lineRule="auto"/>
              <w:ind w:right="96" w:firstLine="480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项目实施团队人员专业、人数合理，能完全胜任项目实施工作的得10分；项目实施团队人员专业、人数较为合理，可以完成项目实施工作的得6分；项目实施团队人员较为专业、人数配置一般的得3分。</w:t>
            </w:r>
          </w:p>
          <w:p w14:paraId="332357B5" w14:textId="77777777" w:rsidR="009E1E71" w:rsidRPr="00327FD2" w:rsidRDefault="00C52CAE">
            <w:pPr>
              <w:pStyle w:val="TableParagraph"/>
              <w:spacing w:line="381" w:lineRule="auto"/>
              <w:ind w:right="96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（</w:t>
            </w:r>
            <w:r w:rsidR="00387293" w:rsidRPr="00327FD2">
              <w:rPr>
                <w:rFonts w:ascii="仿宋_GB2312" w:eastAsia="仿宋_GB2312" w:hint="eastAsia"/>
                <w:sz w:val="24"/>
              </w:rPr>
              <w:t>4</w:t>
            </w:r>
            <w:r w:rsidRPr="00327FD2">
              <w:rPr>
                <w:rFonts w:ascii="仿宋_GB2312" w:eastAsia="仿宋_GB2312" w:hint="eastAsia"/>
                <w:sz w:val="24"/>
              </w:rPr>
              <w:t>）项目实施进度保障（满分10分）</w:t>
            </w:r>
          </w:p>
          <w:p w14:paraId="6DE87CC3" w14:textId="77777777" w:rsidR="009E1E71" w:rsidRPr="00327FD2" w:rsidRDefault="00C52CAE">
            <w:pPr>
              <w:pStyle w:val="TableParagraph"/>
              <w:spacing w:line="381" w:lineRule="auto"/>
              <w:ind w:right="96" w:firstLineChars="200" w:firstLine="480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项目实施进度安排合理，有科学、详细、完备保障监督机制的得10分；项目实施进度安排较为合理，保障监督机制较为完备的得6分；项目实施进度安排一般，保障监督机制不完备的得3分。</w:t>
            </w:r>
          </w:p>
          <w:p w14:paraId="0B074605" w14:textId="77777777" w:rsidR="00944628" w:rsidRPr="00327FD2" w:rsidRDefault="00944628" w:rsidP="00944628">
            <w:pPr>
              <w:pStyle w:val="TableParagraph"/>
              <w:spacing w:line="381" w:lineRule="auto"/>
              <w:ind w:right="96" w:firstLineChars="200" w:firstLine="480"/>
              <w:rPr>
                <w:rFonts w:ascii="仿宋_GB2312" w:eastAsia="仿宋_GB2312" w:hint="eastAsia"/>
                <w:sz w:val="24"/>
              </w:rPr>
            </w:pPr>
          </w:p>
        </w:tc>
      </w:tr>
      <w:tr w:rsidR="009E1E71" w:rsidRPr="00327FD2" w14:paraId="742D3471" w14:textId="77777777" w:rsidTr="00206E7F">
        <w:trPr>
          <w:trHeight w:val="3450"/>
          <w:jc w:val="center"/>
        </w:trPr>
        <w:tc>
          <w:tcPr>
            <w:tcW w:w="831" w:type="dxa"/>
          </w:tcPr>
          <w:p w14:paraId="304B4217" w14:textId="77777777" w:rsidR="009E1E71" w:rsidRPr="00327FD2" w:rsidRDefault="009E1E71">
            <w:pPr>
              <w:pStyle w:val="TableParagraph"/>
              <w:rPr>
                <w:rFonts w:ascii="仿宋_GB2312" w:eastAsia="仿宋_GB2312" w:hint="eastAsia"/>
                <w:sz w:val="24"/>
              </w:rPr>
            </w:pPr>
          </w:p>
        </w:tc>
        <w:tc>
          <w:tcPr>
            <w:tcW w:w="1589" w:type="dxa"/>
          </w:tcPr>
          <w:p w14:paraId="52333F73" w14:textId="77777777" w:rsidR="009E1E71" w:rsidRPr="00327FD2" w:rsidRDefault="009E1E71">
            <w:pPr>
              <w:pStyle w:val="TableParagraph"/>
              <w:spacing w:before="11" w:line="252" w:lineRule="auto"/>
              <w:ind w:left="106"/>
              <w:rPr>
                <w:rFonts w:ascii="仿宋_GB2312" w:eastAsia="仿宋_GB2312" w:hint="eastAsia"/>
                <w:sz w:val="24"/>
              </w:rPr>
            </w:pPr>
          </w:p>
          <w:p w14:paraId="1316097A" w14:textId="77777777" w:rsidR="009E1E71" w:rsidRPr="00327FD2" w:rsidRDefault="009E1E71">
            <w:pPr>
              <w:pStyle w:val="TableParagraph"/>
              <w:spacing w:before="11" w:line="252" w:lineRule="auto"/>
              <w:ind w:left="106"/>
              <w:rPr>
                <w:rFonts w:ascii="仿宋_GB2312" w:eastAsia="仿宋_GB2312" w:hint="eastAsia"/>
                <w:sz w:val="24"/>
              </w:rPr>
            </w:pPr>
          </w:p>
          <w:p w14:paraId="4F7659F9" w14:textId="77777777" w:rsidR="009E1E71" w:rsidRPr="00327FD2" w:rsidRDefault="009E1E71">
            <w:pPr>
              <w:pStyle w:val="TableParagraph"/>
              <w:spacing w:before="11" w:line="252" w:lineRule="auto"/>
              <w:ind w:left="106"/>
              <w:rPr>
                <w:rFonts w:ascii="仿宋_GB2312" w:eastAsia="仿宋_GB2312" w:hint="eastAsia"/>
                <w:sz w:val="24"/>
              </w:rPr>
            </w:pPr>
          </w:p>
          <w:p w14:paraId="0A667855" w14:textId="77777777" w:rsidR="009E1E71" w:rsidRPr="00327FD2" w:rsidRDefault="009E1E71">
            <w:pPr>
              <w:pStyle w:val="TableParagraph"/>
              <w:spacing w:before="11" w:line="252" w:lineRule="auto"/>
              <w:ind w:left="106"/>
              <w:rPr>
                <w:rFonts w:ascii="仿宋_GB2312" w:eastAsia="仿宋_GB2312" w:hint="eastAsia"/>
                <w:sz w:val="24"/>
              </w:rPr>
            </w:pPr>
          </w:p>
          <w:p w14:paraId="18230450" w14:textId="77777777" w:rsidR="009E1E71" w:rsidRPr="00327FD2" w:rsidRDefault="00C52CAE">
            <w:pPr>
              <w:pStyle w:val="TableParagraph"/>
              <w:spacing w:before="11" w:line="252" w:lineRule="auto"/>
              <w:ind w:left="106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售后服务及使用培训方案</w:t>
            </w:r>
          </w:p>
        </w:tc>
        <w:tc>
          <w:tcPr>
            <w:tcW w:w="1155" w:type="dxa"/>
          </w:tcPr>
          <w:p w14:paraId="126923B8" w14:textId="77777777" w:rsidR="009E1E71" w:rsidRPr="00327FD2" w:rsidRDefault="009E1E71">
            <w:pPr>
              <w:pStyle w:val="TableParagraph"/>
              <w:spacing w:before="2"/>
              <w:rPr>
                <w:rFonts w:ascii="仿宋_GB2312" w:eastAsia="仿宋_GB2312" w:hint="eastAsia"/>
                <w:sz w:val="24"/>
              </w:rPr>
            </w:pPr>
          </w:p>
          <w:p w14:paraId="668BF53A" w14:textId="77777777" w:rsidR="009E1E71" w:rsidRPr="00327FD2" w:rsidRDefault="009E1E71">
            <w:pPr>
              <w:pStyle w:val="TableParagraph"/>
              <w:ind w:left="297"/>
              <w:rPr>
                <w:rFonts w:ascii="仿宋_GB2312" w:eastAsia="仿宋_GB2312" w:hint="eastAsia"/>
                <w:sz w:val="24"/>
              </w:rPr>
            </w:pPr>
          </w:p>
          <w:p w14:paraId="224B926E" w14:textId="77777777" w:rsidR="009E1E71" w:rsidRPr="00327FD2" w:rsidRDefault="009E1E71">
            <w:pPr>
              <w:pStyle w:val="TableParagraph"/>
              <w:ind w:left="297"/>
              <w:rPr>
                <w:rFonts w:ascii="仿宋_GB2312" w:eastAsia="仿宋_GB2312" w:hint="eastAsia"/>
                <w:sz w:val="24"/>
              </w:rPr>
            </w:pPr>
          </w:p>
          <w:p w14:paraId="483D5011" w14:textId="77777777" w:rsidR="009E1E71" w:rsidRPr="00327FD2" w:rsidRDefault="009E1E71">
            <w:pPr>
              <w:pStyle w:val="TableParagraph"/>
              <w:ind w:left="297"/>
              <w:rPr>
                <w:rFonts w:ascii="仿宋_GB2312" w:eastAsia="仿宋_GB2312" w:hint="eastAsia"/>
                <w:sz w:val="24"/>
              </w:rPr>
            </w:pPr>
          </w:p>
          <w:p w14:paraId="7335684D" w14:textId="77777777" w:rsidR="009E1E71" w:rsidRPr="00327FD2" w:rsidRDefault="00C52CAE">
            <w:pPr>
              <w:pStyle w:val="TableParagraph"/>
              <w:ind w:left="297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15分</w:t>
            </w:r>
          </w:p>
        </w:tc>
        <w:tc>
          <w:tcPr>
            <w:tcW w:w="5063" w:type="dxa"/>
          </w:tcPr>
          <w:p w14:paraId="62EF40CA" w14:textId="77777777" w:rsidR="009E1E71" w:rsidRPr="00327FD2" w:rsidRDefault="00C52CAE">
            <w:pPr>
              <w:pStyle w:val="TableParagraph"/>
              <w:spacing w:line="381" w:lineRule="auto"/>
              <w:ind w:right="96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（1）供应商售后服务体系是否完善， 应急保障处理方案，响应时间是否齐全等方面的服务内容，定期回访，质量保证内的维护措施等。经评委评定为优秀的得 10分、良好的得6分，一般的得3分。</w:t>
            </w:r>
          </w:p>
          <w:p w14:paraId="0F95781A" w14:textId="77777777" w:rsidR="009E1E71" w:rsidRPr="00327FD2" w:rsidRDefault="00C52CAE">
            <w:pPr>
              <w:pStyle w:val="TableParagraph"/>
              <w:spacing w:line="381" w:lineRule="auto"/>
              <w:ind w:right="96"/>
              <w:rPr>
                <w:rFonts w:ascii="仿宋_GB2312" w:eastAsia="仿宋_GB2312" w:hint="eastAsia"/>
                <w:sz w:val="24"/>
              </w:rPr>
            </w:pPr>
            <w:r w:rsidRPr="00327FD2">
              <w:rPr>
                <w:rFonts w:ascii="仿宋_GB2312" w:eastAsia="仿宋_GB2312" w:hint="eastAsia"/>
                <w:sz w:val="24"/>
              </w:rPr>
              <w:t>（2）供应</w:t>
            </w:r>
            <w:proofErr w:type="gramStart"/>
            <w:r w:rsidRPr="00327FD2">
              <w:rPr>
                <w:rFonts w:ascii="仿宋_GB2312" w:eastAsia="仿宋_GB2312" w:hint="eastAsia"/>
                <w:sz w:val="24"/>
              </w:rPr>
              <w:t>商培训</w:t>
            </w:r>
            <w:proofErr w:type="gramEnd"/>
            <w:r w:rsidRPr="00327FD2">
              <w:rPr>
                <w:rFonts w:ascii="仿宋_GB2312" w:eastAsia="仿宋_GB2312" w:hint="eastAsia"/>
                <w:sz w:val="24"/>
              </w:rPr>
              <w:t>计划、培训方案的可行性和实用性。经评委评定为优秀的得5分、良好的得3分，一般的得1分。</w:t>
            </w:r>
          </w:p>
        </w:tc>
      </w:tr>
    </w:tbl>
    <w:p w14:paraId="06EFBB8E" w14:textId="77777777" w:rsidR="00327FD2" w:rsidRDefault="00327FD2">
      <w:pPr>
        <w:ind w:rightChars="-349" w:right="-733" w:firstLineChars="300" w:firstLine="714"/>
        <w:rPr>
          <w:rFonts w:ascii="仿宋_GB2312" w:eastAsia="仿宋_GB2312"/>
          <w:spacing w:val="-1"/>
          <w:sz w:val="24"/>
        </w:rPr>
      </w:pPr>
    </w:p>
    <w:p w14:paraId="0541B955" w14:textId="109388B1" w:rsidR="009E1E71" w:rsidRPr="00327FD2" w:rsidRDefault="00C52CAE" w:rsidP="00327FD2">
      <w:pPr>
        <w:spacing w:line="360" w:lineRule="auto"/>
        <w:ind w:rightChars="-349" w:right="-733" w:firstLineChars="300" w:firstLine="714"/>
        <w:rPr>
          <w:rFonts w:ascii="仿宋_GB2312" w:eastAsia="仿宋_GB2312" w:hint="eastAsia"/>
          <w:sz w:val="24"/>
        </w:rPr>
      </w:pPr>
      <w:r w:rsidRPr="00327FD2">
        <w:rPr>
          <w:rFonts w:ascii="仿宋_GB2312" w:eastAsia="仿宋_GB2312" w:hint="eastAsia"/>
          <w:spacing w:val="-1"/>
          <w:sz w:val="24"/>
        </w:rPr>
        <w:t xml:space="preserve">评标结论价格、商务和技术得分合计总分最高者推荐位中标或成交供应商； </w:t>
      </w:r>
      <w:r w:rsidRPr="00327FD2">
        <w:rPr>
          <w:rFonts w:ascii="仿宋_GB2312" w:eastAsia="仿宋_GB2312" w:hint="eastAsia"/>
          <w:spacing w:val="-9"/>
          <w:sz w:val="24"/>
        </w:rPr>
        <w:t>总分相同时，以技术部分得分最高者为中标或成交供应商；技术部分得分也相同时，由评</w:t>
      </w:r>
      <w:r w:rsidRPr="00327FD2">
        <w:rPr>
          <w:rFonts w:ascii="仿宋_GB2312" w:eastAsia="仿宋_GB2312" w:hint="eastAsia"/>
          <w:sz w:val="24"/>
        </w:rPr>
        <w:t>标委员会根据综合情况推荐确定中标或成交供应商。同时向采购人出具评标报告。</w:t>
      </w:r>
    </w:p>
    <w:sectPr w:rsidR="009E1E71" w:rsidRPr="00327FD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52A222" w14:textId="77777777" w:rsidR="00E8426F" w:rsidRDefault="00E8426F">
      <w:r>
        <w:separator/>
      </w:r>
    </w:p>
  </w:endnote>
  <w:endnote w:type="continuationSeparator" w:id="0">
    <w:p w14:paraId="3DD4D08B" w14:textId="77777777" w:rsidR="00E8426F" w:rsidRDefault="00E84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57EE5" w14:textId="77777777" w:rsidR="009E1E71" w:rsidRDefault="00C52CAE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46076416" behindDoc="1" locked="0" layoutInCell="1" allowOverlap="1" wp14:anchorId="599DB91C" wp14:editId="12D356BE">
              <wp:simplePos x="0" y="0"/>
              <wp:positionH relativeFrom="page">
                <wp:posOffset>3697605</wp:posOffset>
              </wp:positionH>
              <wp:positionV relativeFrom="page">
                <wp:posOffset>9921875</wp:posOffset>
              </wp:positionV>
              <wp:extent cx="166370" cy="1524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37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0B37C42" w14:textId="77777777" w:rsidR="009E1E71" w:rsidRDefault="00C52CAE">
                          <w:pPr>
                            <w:spacing w:before="12"/>
                            <w:ind w:left="4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87293">
                            <w:rPr>
                              <w:rFonts w:ascii="Times New Roman"/>
                              <w:noProof/>
                              <w:sz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99DB91C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291.15pt;margin-top:781.25pt;width:13.1pt;height:12pt;z-index:-257240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" filled="f" stroked="f">
              <v:textbox inset="0,0,0,0">
                <w:txbxContent>
                  <w:p w14:paraId="50B37C42" w14:textId="77777777" w:rsidR="009E1E71" w:rsidRDefault="00C52CAE">
                    <w:pPr>
                      <w:spacing w:before="12"/>
                      <w:ind w:left="40"/>
                      <w:rPr>
                        <w:rFonts w:ascii="Times New Roman"/>
                        <w:sz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87293">
                      <w:rPr>
                        <w:rFonts w:ascii="Times New Roman"/>
                        <w:noProof/>
                        <w:sz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1586E" w14:textId="77777777" w:rsidR="00E8426F" w:rsidRDefault="00E8426F">
      <w:r>
        <w:separator/>
      </w:r>
    </w:p>
  </w:footnote>
  <w:footnote w:type="continuationSeparator" w:id="0">
    <w:p w14:paraId="448E9D11" w14:textId="77777777" w:rsidR="00E8426F" w:rsidRDefault="00E842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CC063B"/>
    <w:multiLevelType w:val="multilevel"/>
    <w:tmpl w:val="74CC063B"/>
    <w:lvl w:ilvl="0">
      <w:start w:val="1"/>
      <w:numFmt w:val="decimal"/>
      <w:lvlText w:val="（%1）"/>
      <w:lvlJc w:val="left"/>
      <w:pPr>
        <w:ind w:left="106" w:hanging="610"/>
        <w:jc w:val="left"/>
      </w:pPr>
      <w:rPr>
        <w:rFonts w:ascii="宋体" w:eastAsia="宋体" w:hAnsi="宋体" w:cs="宋体" w:hint="default"/>
        <w:spacing w:val="2"/>
        <w:w w:val="100"/>
        <w:sz w:val="22"/>
        <w:szCs w:val="22"/>
        <w:lang w:val="zh-CN" w:eastAsia="zh-CN" w:bidi="zh-CN"/>
      </w:rPr>
    </w:lvl>
    <w:lvl w:ilvl="1">
      <w:numFmt w:val="bullet"/>
      <w:lvlText w:val="•"/>
      <w:lvlJc w:val="left"/>
      <w:pPr>
        <w:ind w:left="585" w:hanging="610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070" w:hanging="610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555" w:hanging="610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2040" w:hanging="610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526" w:hanging="610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3011" w:hanging="610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3496" w:hanging="610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981" w:hanging="610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2977020"/>
    <w:rsid w:val="000E3078"/>
    <w:rsid w:val="001C73B4"/>
    <w:rsid w:val="00206E7F"/>
    <w:rsid w:val="002135DF"/>
    <w:rsid w:val="00327FD2"/>
    <w:rsid w:val="00387293"/>
    <w:rsid w:val="003A7D89"/>
    <w:rsid w:val="003F58DA"/>
    <w:rsid w:val="00486E02"/>
    <w:rsid w:val="00556F87"/>
    <w:rsid w:val="00627A94"/>
    <w:rsid w:val="00663B25"/>
    <w:rsid w:val="007E3454"/>
    <w:rsid w:val="00925FA4"/>
    <w:rsid w:val="00944628"/>
    <w:rsid w:val="009E1E71"/>
    <w:rsid w:val="00A36140"/>
    <w:rsid w:val="00B1096B"/>
    <w:rsid w:val="00B815FF"/>
    <w:rsid w:val="00C52CAE"/>
    <w:rsid w:val="00C645C6"/>
    <w:rsid w:val="00CF07D0"/>
    <w:rsid w:val="00E8426F"/>
    <w:rsid w:val="00FD40C8"/>
    <w:rsid w:val="00FE3B91"/>
    <w:rsid w:val="03025EE7"/>
    <w:rsid w:val="04730F9C"/>
    <w:rsid w:val="08D92F0D"/>
    <w:rsid w:val="0C462452"/>
    <w:rsid w:val="249D391D"/>
    <w:rsid w:val="2C40242B"/>
    <w:rsid w:val="303D3120"/>
    <w:rsid w:val="370A557D"/>
    <w:rsid w:val="51B175B4"/>
    <w:rsid w:val="52F204C0"/>
    <w:rsid w:val="532725EE"/>
    <w:rsid w:val="533E3E0D"/>
    <w:rsid w:val="58773899"/>
    <w:rsid w:val="589359B2"/>
    <w:rsid w:val="65A7037F"/>
    <w:rsid w:val="6627449D"/>
    <w:rsid w:val="71BD5855"/>
    <w:rsid w:val="72977020"/>
    <w:rsid w:val="72BC2ED2"/>
    <w:rsid w:val="7303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F23A6"/>
  <w15:docId w15:val="{35DC37BA-9C5E-463B-A221-54EF80A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sz w:val="24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1"/>
    <w:qFormat/>
    <w:pPr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Zxy-Nothing</dc:creator>
  <cp:lastModifiedBy>蕾 刘</cp:lastModifiedBy>
  <cp:revision>12</cp:revision>
  <dcterms:created xsi:type="dcterms:W3CDTF">2020-08-14T05:30:00Z</dcterms:created>
  <dcterms:modified xsi:type="dcterms:W3CDTF">2020-09-16T08:05:00Z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